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1" w:rsidRPr="00457861" w:rsidRDefault="00457861" w:rsidP="004578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10 января 2018 г. № 3 "Об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водоотведение"</w:t>
      </w:r>
    </w:p>
    <w:p w:rsidR="00457861" w:rsidRPr="00457861" w:rsidRDefault="00457861" w:rsidP="00457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февраля 2018 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43, ст. 5976; № 46, ст. 6392; 2016, № 2, ст. 325; № 8, ст. 1121; № 28, ст. 4741; 2017, № 3, ст. 511; № 17, ст. 2567; № 25, ст. 3688), пунктом 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№ 38, ст. 5069; 2016, № 16, ст. 2230; 2017, № 2, ст. 368), приказываю: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08.02.04 Водоснабжение и водоотведение (далее - стандарт).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вправе осуществлять в соответствии со </w:t>
      </w:r>
      <w:hyperlink r:id="rId5" w:anchor="10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стандартом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лиц, зачисленных до вступления в силу настоящего приказа, с их согласия;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 08.02.04 Водоснабжение и водоотведение, утвержденным приказом Министерства образования и науки Российской Федерации от 28 июля 2014 г. № 851 (зарегистрирован Министерством юстиции Российской Федерации 21 августа 2014 г., регистрационный № 33751), прекращается 1 сентября 2018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1793"/>
      </w:tblGrid>
      <w:tr w:rsidR="00457861" w:rsidRPr="00457861" w:rsidTr="0045786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 Ю. Васильева </w:t>
            </w:r>
          </w:p>
        </w:tc>
      </w:tr>
    </w:tbl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января 2018 г.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49821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Российской Федерации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января 2018 г. № 3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среднего профессионального образования по специальности 08.02.04 Водоснабжение и водоотведение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08.02.04 Водоснабжение и водоотведение (далее - специальность).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формах обучения.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1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Pr="007F1B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16 Строительство и жилищно-коммунальное хозяйство</w:t>
      </w:r>
      <w:hyperlink r:id="rId8" w:anchor="1111" w:history="1">
        <w:r w:rsidRPr="007F1B04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(1)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(2)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- 3 года 10 месяцев;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- 2 года 10 месяцев. 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программе, предусматривающей получение в соответствии с </w:t>
      </w:r>
      <w:hyperlink r:id="rId10" w:anchor="1011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1.12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квалификации специалиста среднего звена «старший техник», увеличивается на 1 год.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получения образования по образовательной программе в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формах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 и с изменениями, внесенными приказами Министерства образования и науки Российской Федерации от 14 мая 2014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техник.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1" w:anchor="3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и 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составлять не более 70 процентов от общего объема времени, отведенного на ее освоение.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вида(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r:id="rId12" w:anchor="1011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1.12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 цикл;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цикл; 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3" w:anchor="1011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1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2196"/>
        <w:gridCol w:w="2324"/>
      </w:tblGrid>
      <w:tr w:rsidR="00457861" w:rsidRPr="00457861" w:rsidTr="0045786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gridSpan w:val="2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квалификации специалиста среднего звена «Техник»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квалификации специалиста среднего звена «Старший техник»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 экономический цикл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468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504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144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180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612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648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1728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2664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gridSpan w:val="3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4464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5940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образования, включая получение среднего общего 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5940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7416 </w:t>
            </w:r>
          </w:p>
        </w:tc>
      </w:tr>
    </w:tbl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r:id="rId14" w:anchor="21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№ 1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- не менее 25 процентов, в заочной форме - не менее 10 процентов.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Освоение </w:t>
      </w:r>
      <w:proofErr w:type="spell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результатам освоения образовательной программы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r:id="rId15" w:anchor="1011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1.12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 2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1"/>
        <w:gridCol w:w="4034"/>
      </w:tblGrid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специалиста среднего звена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технологий и проектирование элементов систем водоснабжения и водоотведения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сетей и сооружений водоснабжения и водоотведения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очистке природных и сточных вод и контролю качественных показателей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работы производственного подразделения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</w:t>
            </w:r>
          </w:p>
        </w:tc>
      </w:tr>
    </w:tbl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r:id="rId16" w:anchor="12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r:id="rId17" w:anchor="32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№ 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Разработка технологий и проектирование элементов систем водоснабжения и водоотведения: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участие в проектировании элементов систем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Определять расчетные расходы воды;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Разрабатывать технологические схемы очистки воды и обработки осадков;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Производить расчеты элементов систем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Разрабатывать чертежи элементов систем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Определять, анализировать и планировать технико-экономические показатели систем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Устанавливать соответствие проектных решений природоохранным требованиям.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Эксплуатация сетей и сооружений водоснабжения и водоотведения: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Эксплуатировать сети и сооружения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Оценивать техническое состояние систем и сооружений водоснабжения и водоотведения;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соблюдение технологических режимов природоохранных объектов, сбросов сточных вод, соблюдение экологических стандартов и нормативов;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Планировать обеспечение работ в условиях нестандартных ситуаций.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Выполнение работ по очистке природных и сточных вод и контролю качественных показателей: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Разрабатывать технологический процесс очистки природных и сточных вод;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химические анализы по контролю качества природных и сточных вод;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микробиологические анализы по контролю качества природных и сточных вод.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Планирование и организация работы производственного подразделения: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18" w:anchor="12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ФГОС СПО).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r:id="rId19" w:anchor="13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 3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Образовательная организация самостоятельно планирует результаты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r:id="rId20" w:anchor="10112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1.12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условиям реализации образовательной программы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21" w:anchor="1016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22" w:anchor="1016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3" w:anchor="1016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(1) Таблица приложения к приказу Министерства труда и социальной защиты Российской Федерации от 29 сентября 2014 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 г., регистрационный № 34779) с изменениями, внесенными приказом Министерства труда и социальной защиты Российской Федерации от 9 марта 2017 г. № 254н (зарегистрирован Министерством юстиции Российской Федерации 29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 г., регистрационный № 46168).</w:t>
      </w:r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(2) Статья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1320; № 23, ст. 3289, ст. 3290; № 27, ст. 4160, ст. 4219, ст. 4223, ст. 4238, ст. 4239, ст. 4245, ст. 4246, ст. 4292; 2017, № 18, ст. 2670; № 31, ст. 4765, официальный интернет-портал правовой информации http://www.pravo.gov.ru, 29 декабря 2017 г.).</w:t>
      </w:r>
      <w:proofErr w:type="gramEnd"/>
    </w:p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08.02.04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Водоснабжение и водоотведение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08.02.04 Водоснабжение и водоотведение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6965"/>
      </w:tblGrid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профессионального </w:t>
            </w: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стандарта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профессионального стандарта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16.015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эксплуатации водозаборных сооружений», утвержден приказом Министерства труда и социальной защиты Российской Федерации от 11 апреля 2014 г. № 245н (зарегистрирован Министерством юстиции Российской Федерации 27 мая 2014 г., регистрационный № 32459)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45230)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16.016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эксплуатации очистных сооружений водоотведения», утвержден приказом Министерства труда и социальной защиты Российской Федерации от 11 апреля 2014 г. № 232н (зарегистрирован Министерством юстиции Российской Федерации 29 мая 2014 г., регистрационный № 32484)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регистрационный № 45230)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16.013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эксплуатации насосных станций водопровода», утвержден приказом Министерства труда и социальной защиты Российской Федерации от 11 апреля 2014 г. № 247н (зарегистрирован Министерством юстиции Российской Федерации 2 июня 2014 г., регистрационный № 32533)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регистрационный № 45230)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16.007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«Специалист по эксплуатации станций водоподготовки», утвержден приказом Министерства труда и социальной защиты Российской Федерации от 11 апреля 2014 г. № 227н (зарегистрирован Министерством юстиции Российской Федерации 22 мая 2014 г., регистрационный № 32394) с изменениями, внесенными приказом Министерства труда и социальной защиты Российской Федерации от 12 декабря 2016 г. № 727н (зарегистрирован Министерством юстиции Российской Федерации 13 января 2017 г., регистрационный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45230) </w:t>
            </w:r>
          </w:p>
        </w:tc>
      </w:tr>
    </w:tbl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08.02.04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Водоснабжение и водоотведение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профессий рабочих, должностей служащих, рекомендуемых к освоению в рамках </w:t>
      </w: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программы подготовки специалистов среднего звена по специальности 08.02.04 Водоснабжение и водоотведение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4"/>
        <w:gridCol w:w="3031"/>
      </w:tblGrid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 г. № 513 (зарегистрирован Министерством юстиции Российской Федерации 8 августа 2013 г., регистрационный № 29322), с изменениями, внесенными приказами Министерства образования и науки Российской Федерации от 16 декабря 2013 г. № 1348 (зарегистрирован Министерством юстиции Российской Федерации 29 января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 г., регистрационный № 31163), от 28 марта 2014 г. № 244 (зарегистрирован Министерством юстиции Российской Федерации 15 апреля 2014 г., регистрационный № 31953), от 27 июня 2014 г. № 695 (зарегистрирован Министерством юстиции Российской Федерации 22 июля 2014 г., регистрационный № 33205), от 3 февраля 2017 г. № 106 (зарегистрирован Министерством юстиции Российской Федерации 11 апреля 2017 г., регистрационный № 46339) </w:t>
            </w:r>
            <w:proofErr w:type="gramEnd"/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14571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наружных трубопроводов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14621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санитарно-технических систем и оборудования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18492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изготовлению узлов и деталей технологических трубопроводов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18560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Слесарь-сантехник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19756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7861" w:rsidRPr="00457861" w:rsidRDefault="00457861" w:rsidP="0045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государственному</w:t>
        </w:r>
        <w:r w:rsidRPr="0045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образовательному стандарту</w:t>
        </w:r>
      </w:hyperlink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среднего профессионального образования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08.02.04</w:t>
      </w:r>
      <w:r w:rsidRPr="00457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Водоснабжение и водоотведение</w:t>
      </w:r>
    </w:p>
    <w:p w:rsidR="00457861" w:rsidRPr="00457861" w:rsidRDefault="00457861" w:rsidP="00457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требования</w:t>
      </w:r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результатам </w:t>
      </w:r>
      <w:proofErr w:type="gramStart"/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45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специальности 08.02.04 Водоснабжение и водоотведение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6307"/>
      </w:tblGrid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технологий и проектирование элементов 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водоснабжения и водоотведения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основы проектирования и конструирования; состав и порядок разработки проектной документации; 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нормы и правила; технологию выполнения строительно-монтажных работ; передовые технологии и современное оборудование; основные гидротехнические сооружения, используемые в системах водоснабжения и водоотведения; современное насосное оборудование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7F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разрабатывать технологические схемы очистки природных и сточных вод, схемы обработки осадков; читать и выполнять чертежи элементов систем водоснабжения и водоотведения;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нормативными правовыми актами; осуществлять поиск необходимого оборудования, элементов систем водоснабжения и водоотведения; составлять ведомости и спецификации оборудования и материалов, элементов проектируемых систем водоснабжения и водоотведения; выполнять и оформлять расчеты проектируемых элементов систем водоснабжения и водоотведения; пользоваться расчетными программами; выполнять расчеты элементов санитарно-технических систем; читать и выполнять чертежи санитарно-технических систем;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современные технологии строительства систем водоснабжения и водоотведения; использовать информационные технологии при подборе и поиске необходимого оборудования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F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меть практический опыт в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проектировании элементов систем водоснабжения и водоотведения; подборе и использовании оборудования и материалов в наружных и внутренних системах водоснабжения и водоотведения.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Эксплуатация сетей и сооружений водоснабжения и водоотведения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эксплуатацию сооружений и оборудования систем водоснабжения и водоотведения; элементы автоматических устройств, методы измерений, устройство контрольно-измерительных приборов технологического контроля; основные принципы автоматизации элементов систем водоснабжения и водоотведения; методику определения основных </w:t>
            </w:r>
            <w:proofErr w:type="spellStart"/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экономических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показателей; способы повышения эффективности работы элементов систем водоснабжения и водоотведения, энергосберегающие технологии; требования охраны труда, техники безопасности и противопожарной безопасности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обеспечивать безотказную и эффективную работу систем водоснабжения и водоотведения; внедрять передовые технологии при строительстве, эксплуатации и реконструкции систем водоснабжения и водоотведения; определять и анализировать основные </w:t>
            </w:r>
            <w:proofErr w:type="spell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экономические показатели. иметь практический опыт в: эксплуатации сетей водоснабжения и водоотведения.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очистке природных и сточных вод и контролю качественных показателей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гигиенические требования к качеству питьевой воды и санитарные нормы очищенным сточным водам и водам водоемов различного назначения; методы и параметры контроля природных и сточных вод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выполнять химические и микробиологические анализы по контролю технологических процессов и качества очистки природных и сточных вод; выполнять контроль за соблюдением экологических стандартов и нормативов по охране </w:t>
            </w: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применении методов и способов контроля очистки и качества природных и сточных вод. </w:t>
            </w:r>
          </w:p>
        </w:tc>
      </w:tr>
      <w:tr w:rsidR="00457861" w:rsidRPr="00457861" w:rsidTr="00457861">
        <w:trPr>
          <w:tblCellSpacing w:w="15" w:type="dxa"/>
        </w:trPr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и организация работы производственного подразделения </w:t>
            </w:r>
          </w:p>
        </w:tc>
        <w:tc>
          <w:tcPr>
            <w:tcW w:w="0" w:type="auto"/>
            <w:hideMark/>
          </w:tcPr>
          <w:p w:rsidR="00457861" w:rsidRPr="00457861" w:rsidRDefault="00457861" w:rsidP="0045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и нормы труда; права и обязанности работников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основы организации работы коллектива исполнителей; состав и возможности информационно-коммуникационных технологий в управленческой деятельности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обеспечивать эффективную работу производственного участка; планировать этапы выполнения производственных работ; оформлять производственную документацию; составлять и заключать договоры; контролировать соблюдение правил техники безопасности и требования охраны труда и производственной санитарии; разрабатывать бизнес-план; использовать информационные технологии в управленческой деятельности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управлении производственным процессом; управлении персоналом. </w:t>
            </w:r>
          </w:p>
        </w:tc>
      </w:tr>
    </w:tbl>
    <w:p w:rsidR="00457861" w:rsidRPr="00457861" w:rsidRDefault="00457861" w:rsidP="0045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845" w:rsidRDefault="00060845"/>
    <w:sectPr w:rsidR="00060845" w:rsidSect="0006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861"/>
    <w:rsid w:val="0005601E"/>
    <w:rsid w:val="00060845"/>
    <w:rsid w:val="00103ECE"/>
    <w:rsid w:val="00457861"/>
    <w:rsid w:val="007F1B04"/>
    <w:rsid w:val="00940481"/>
    <w:rsid w:val="00F4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5"/>
  </w:style>
  <w:style w:type="paragraph" w:styleId="2">
    <w:name w:val="heading 2"/>
    <w:basedOn w:val="a"/>
    <w:link w:val="20"/>
    <w:uiPriority w:val="9"/>
    <w:qFormat/>
    <w:rsid w:val="00457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861"/>
    <w:rPr>
      <w:color w:val="0000FF"/>
      <w:u w:val="single"/>
    </w:rPr>
  </w:style>
  <w:style w:type="paragraph" w:customStyle="1" w:styleId="toleft">
    <w:name w:val="toleft"/>
    <w:basedOn w:val="a"/>
    <w:rsid w:val="0045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8686/" TargetMode="External"/><Relationship Id="rId13" Type="http://schemas.openxmlformats.org/officeDocument/2006/relationships/hyperlink" Target="http://www.garant.ru/products/ipo/prime/doc/71768686/" TargetMode="External"/><Relationship Id="rId18" Type="http://schemas.openxmlformats.org/officeDocument/2006/relationships/hyperlink" Target="http://www.garant.ru/products/ipo/prime/doc/71768686/" TargetMode="External"/><Relationship Id="rId26" Type="http://schemas.openxmlformats.org/officeDocument/2006/relationships/hyperlink" Target="http://www.garant.ru/products/ipo/prime/doc/7176868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768686/" TargetMode="External"/><Relationship Id="rId7" Type="http://schemas.openxmlformats.org/officeDocument/2006/relationships/hyperlink" Target="http://www.garant.ru/products/ipo/prime/doc/71768686/" TargetMode="External"/><Relationship Id="rId12" Type="http://schemas.openxmlformats.org/officeDocument/2006/relationships/hyperlink" Target="http://www.garant.ru/products/ipo/prime/doc/71768686/" TargetMode="External"/><Relationship Id="rId17" Type="http://schemas.openxmlformats.org/officeDocument/2006/relationships/hyperlink" Target="http://www.garant.ru/products/ipo/prime/doc/71768686/" TargetMode="External"/><Relationship Id="rId25" Type="http://schemas.openxmlformats.org/officeDocument/2006/relationships/hyperlink" Target="http://www.garant.ru/products/ipo/prime/doc/717686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768686/" TargetMode="External"/><Relationship Id="rId20" Type="http://schemas.openxmlformats.org/officeDocument/2006/relationships/hyperlink" Target="http://www.garant.ru/products/ipo/prime/doc/717686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68686/" TargetMode="External"/><Relationship Id="rId11" Type="http://schemas.openxmlformats.org/officeDocument/2006/relationships/hyperlink" Target="http://www.garant.ru/products/ipo/prime/doc/71768686/" TargetMode="External"/><Relationship Id="rId24" Type="http://schemas.openxmlformats.org/officeDocument/2006/relationships/hyperlink" Target="http://www.garant.ru/products/ipo/prime/doc/71768686/" TargetMode="External"/><Relationship Id="rId5" Type="http://schemas.openxmlformats.org/officeDocument/2006/relationships/hyperlink" Target="http://www.garant.ru/products/ipo/prime/doc/71768686/" TargetMode="External"/><Relationship Id="rId15" Type="http://schemas.openxmlformats.org/officeDocument/2006/relationships/hyperlink" Target="http://www.garant.ru/products/ipo/prime/doc/71768686/" TargetMode="External"/><Relationship Id="rId23" Type="http://schemas.openxmlformats.org/officeDocument/2006/relationships/hyperlink" Target="http://www.garant.ru/products/ipo/prime/doc/717686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1768686/" TargetMode="External"/><Relationship Id="rId19" Type="http://schemas.openxmlformats.org/officeDocument/2006/relationships/hyperlink" Target="http://www.garant.ru/products/ipo/prime/doc/71768686/" TargetMode="External"/><Relationship Id="rId4" Type="http://schemas.openxmlformats.org/officeDocument/2006/relationships/hyperlink" Target="http://www.garant.ru/products/ipo/prime/doc/71768686/" TargetMode="External"/><Relationship Id="rId9" Type="http://schemas.openxmlformats.org/officeDocument/2006/relationships/hyperlink" Target="http://www.garant.ru/products/ipo/prime/doc/71768686/" TargetMode="External"/><Relationship Id="rId14" Type="http://schemas.openxmlformats.org/officeDocument/2006/relationships/hyperlink" Target="http://www.garant.ru/products/ipo/prime/doc/71768686/" TargetMode="External"/><Relationship Id="rId22" Type="http://schemas.openxmlformats.org/officeDocument/2006/relationships/hyperlink" Target="http://www.garant.ru/products/ipo/prime/doc/717686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5629</Words>
  <Characters>32090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XBMCC</dc:creator>
  <cp:keywords/>
  <dc:description/>
  <cp:lastModifiedBy>XBMCC</cp:lastModifiedBy>
  <cp:revision>5</cp:revision>
  <dcterms:created xsi:type="dcterms:W3CDTF">2019-07-29T08:51:00Z</dcterms:created>
  <dcterms:modified xsi:type="dcterms:W3CDTF">2020-02-13T19:26:00Z</dcterms:modified>
</cp:coreProperties>
</file>